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 w:name="_Toc15377425"/>
      <w:bookmarkStart w:id="2" w:name="_Toc15396597"/>
      <w:bookmarkStart w:id="3" w:name="_Toc15378441"/>
      <w:bookmarkStart w:id="4" w:name="_Toc15377193"/>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Start w:id="65" w:name="_GoBack"/>
      <w:bookmarkEnd w:id="65"/>
      <w:r>
        <w:rPr>
          <w:rFonts w:hint="eastAsia" w:ascii="方正小标宋简体" w:hAnsi="方正小标宋简体" w:eastAsia="方正小标宋简体" w:cs="方正小标宋简体"/>
          <w:color w:val="auto"/>
          <w:sz w:val="72"/>
          <w:szCs w:val="72"/>
          <w:highlight w:val="none"/>
          <w:lang w:val="en-US" w:eastAsia="zh-CN"/>
        </w:rPr>
        <w:t>四川省</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78442"/>
      <w:bookmarkStart w:id="7" w:name="_Toc15377194"/>
      <w:bookmarkStart w:id="8" w:name="_Toc15377426"/>
      <w:bookmarkStart w:id="9" w:name="_Toc15396476"/>
      <w:bookmarkStart w:id="10" w:name="_Toc15396598"/>
      <w:r>
        <w:rPr>
          <w:rFonts w:hint="eastAsia" w:ascii="方正小标宋简体" w:hAnsi="方正小标宋简体" w:eastAsia="方正小标宋简体" w:cs="方正小标宋简体"/>
          <w:color w:val="auto"/>
          <w:sz w:val="72"/>
          <w:szCs w:val="72"/>
          <w:highlight w:val="none"/>
          <w:lang w:val="en-US" w:eastAsia="zh-CN"/>
        </w:rPr>
        <w:t>泸县</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惠济路幼儿园</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lang w:val="en-US"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eastAsia="zh-CN"/>
        </w:rPr>
        <w:t>编制说明</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 xml:space="preserve"> 27</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eastAsia="zh-CN"/>
        </w:rPr>
        <w:t>………………………………………………………………</w:t>
      </w:r>
      <w:r>
        <w:rPr>
          <w:rFonts w:hint="eastAsia"/>
          <w:color w:val="auto"/>
          <w:sz w:val="24"/>
          <w:highlight w:val="none"/>
          <w:lang w:val="en-US" w:eastAsia="zh-CN"/>
        </w:rPr>
        <w:t>4</w:t>
      </w:r>
    </w:p>
    <w:p>
      <w:pPr>
        <w:pStyle w:val="12"/>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2"/>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1"/>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eastAsia="zh-CN"/>
        </w:rPr>
        <w:t>…………………………………………</w:t>
      </w:r>
      <w:r>
        <w:rPr>
          <w:rFonts w:hint="eastAsia"/>
          <w:color w:val="auto"/>
          <w:sz w:val="24"/>
          <w:highlight w:val="none"/>
          <w:lang w:val="en-US" w:eastAsia="zh-CN"/>
        </w:rPr>
        <w:t>5</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2"/>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11</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12</w:t>
      </w:r>
    </w:p>
    <w:p>
      <w:pPr>
        <w:pStyle w:val="11"/>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color w:val="auto"/>
          <w:sz w:val="24"/>
          <w:highlight w:val="none"/>
          <w:lang w:val="en-US" w:eastAsia="zh-CN"/>
        </w:rPr>
        <w:t>13</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val="en-US" w:eastAsia="zh-CN"/>
        </w:rPr>
        <w:t>部门</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0"/>
        </w:numPr>
        <w:ind w:firstLine="640" w:firstLineChars="200"/>
        <w:rPr>
          <w:rFonts w:hint="eastAsia" w:ascii="仿宋" w:hAnsi="仿宋" w:eastAsia="仿宋" w:cs="仿宋"/>
          <w:sz w:val="32"/>
          <w:szCs w:val="32"/>
        </w:rPr>
      </w:pPr>
      <w:bookmarkStart w:id="14" w:name="_Toc15396600"/>
      <w:bookmarkStart w:id="15" w:name="_Toc15377197"/>
      <w:r>
        <w:rPr>
          <w:rStyle w:val="27"/>
          <w:rFonts w:hint="eastAsia" w:ascii="黑体" w:hAnsi="黑体" w:eastAsia="黑体"/>
          <w:b w:val="0"/>
          <w:bCs w:val="0"/>
          <w:color w:val="auto"/>
          <w:highlight w:val="none"/>
          <w:lang w:val="en-US" w:eastAsia="zh-CN"/>
        </w:rPr>
        <w:t>一、部门</w:t>
      </w:r>
      <w:r>
        <w:rPr>
          <w:rStyle w:val="27"/>
          <w:rFonts w:hint="eastAsia" w:ascii="黑体" w:hAnsi="黑体" w:eastAsia="黑体"/>
          <w:b w:val="0"/>
          <w:bCs w:val="0"/>
          <w:color w:val="auto"/>
          <w:highlight w:val="none"/>
          <w:lang w:eastAsia="zh-CN"/>
        </w:rPr>
        <w:t>职责</w:t>
      </w:r>
    </w:p>
    <w:p>
      <w:pPr>
        <w:pStyle w:val="6"/>
        <w:adjustRightInd w:val="0"/>
        <w:spacing w:before="130" w:line="580" w:lineRule="exact"/>
        <w:ind w:firstLine="672" w:firstLineChars="210"/>
        <w:rPr>
          <w:rFonts w:hint="eastAsia" w:ascii="仿宋" w:hAnsi="仿宋" w:eastAsia="仿宋" w:cs="仿宋"/>
          <w:b w:val="0"/>
          <w:bCs/>
          <w:sz w:val="32"/>
          <w:szCs w:val="32"/>
          <w:highlight w:val="none"/>
          <w:u w:val="single"/>
          <w:lang w:eastAsia="zh-CN"/>
        </w:rPr>
      </w:pP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lang w:eastAsia="zh-CN"/>
        </w:rPr>
        <w:t>泸</w:t>
      </w:r>
      <w:r>
        <w:rPr>
          <w:rFonts w:hint="eastAsia" w:ascii="仿宋" w:hAnsi="仿宋" w:eastAsia="仿宋" w:cs="仿宋"/>
          <w:b w:val="0"/>
          <w:bCs/>
          <w:sz w:val="32"/>
          <w:szCs w:val="32"/>
          <w:highlight w:val="none"/>
          <w:lang w:val="en-US" w:eastAsia="zh-CN"/>
        </w:rPr>
        <w:t>县惠济路幼儿园</w:t>
      </w:r>
      <w:r>
        <w:rPr>
          <w:rFonts w:hint="eastAsia" w:ascii="仿宋" w:hAnsi="仿宋" w:eastAsia="仿宋" w:cs="仿宋"/>
          <w:b w:val="0"/>
          <w:bCs/>
          <w:sz w:val="32"/>
          <w:szCs w:val="32"/>
          <w:highlight w:val="none"/>
        </w:rPr>
        <w:t>职能</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为学龄前儿童提供保育和教育</w:t>
      </w:r>
      <w:r>
        <w:rPr>
          <w:rFonts w:hint="eastAsia" w:ascii="仿宋" w:hAnsi="仿宋" w:eastAsia="仿宋" w:cs="仿宋"/>
          <w:b w:val="0"/>
          <w:bCs/>
          <w:sz w:val="32"/>
          <w:szCs w:val="32"/>
          <w:highlight w:val="none"/>
        </w:rPr>
        <w:t>服务</w:t>
      </w:r>
      <w:r>
        <w:rPr>
          <w:rFonts w:hint="eastAsia" w:ascii="仿宋" w:hAnsi="仿宋" w:eastAsia="仿宋" w:cs="仿宋"/>
          <w:b w:val="0"/>
          <w:bCs/>
          <w:sz w:val="32"/>
          <w:szCs w:val="32"/>
          <w:highlight w:val="none"/>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泸县惠济路幼儿园202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年重点工作：</w:t>
      </w:r>
      <w:r>
        <w:rPr>
          <w:rFonts w:hint="eastAsia" w:ascii="仿宋" w:hAnsi="仿宋" w:eastAsia="仿宋" w:cs="仿宋"/>
          <w:bCs/>
          <w:sz w:val="32"/>
          <w:szCs w:val="32"/>
        </w:rPr>
        <w:t>提高教育教学质量、改善办学条件、促进幼儿身心健康发展、提高教职工工作积极性。</w:t>
      </w:r>
    </w:p>
    <w:p>
      <w:pPr>
        <w:numPr>
          <w:ilvl w:val="0"/>
          <w:numId w:val="0"/>
        </w:num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人员情况，包括当年变动情况及原因。</w:t>
      </w:r>
    </w:p>
    <w:p>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2023</w:t>
      </w:r>
      <w:r>
        <w:rPr>
          <w:rFonts w:hint="eastAsia" w:ascii="仿宋" w:hAnsi="仿宋" w:eastAsia="仿宋" w:cs="仿宋"/>
          <w:bCs/>
          <w:sz w:val="32"/>
          <w:szCs w:val="32"/>
        </w:rPr>
        <w:t>年12月31日，泸县惠济路幼儿园教职工35人，其中在编教师8人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公共卫生特别服务岗1人。</w:t>
      </w:r>
    </w:p>
    <w:p>
      <w:pPr>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2023年8月离职临聘人员1人，2024年9月，新聘临聘人员1人，截止2023年12月31日，</w:t>
      </w:r>
      <w:r>
        <w:rPr>
          <w:rFonts w:hint="eastAsia" w:ascii="仿宋" w:hAnsi="仿宋" w:eastAsia="仿宋" w:cs="仿宋"/>
          <w:bCs/>
          <w:sz w:val="32"/>
          <w:szCs w:val="32"/>
        </w:rPr>
        <w:t>泸县惠济路幼儿园教职工35人，其中在编教师8人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公共卫生特别服务岗1人。</w:t>
      </w:r>
    </w:p>
    <w:p>
      <w:pPr>
        <w:pStyle w:val="4"/>
        <w:numPr>
          <w:ilvl w:val="0"/>
          <w:numId w:val="0"/>
        </w:numPr>
        <w:ind w:leftChars="0" w:firstLine="640" w:firstLineChars="200"/>
        <w:rPr>
          <w:rFonts w:hint="eastAsia" w:ascii="仿宋" w:hAnsi="仿宋" w:eastAsia="仿宋" w:cs="仿宋"/>
          <w:sz w:val="32"/>
          <w:szCs w:val="32"/>
        </w:rPr>
      </w:pPr>
      <w:r>
        <w:rPr>
          <w:rFonts w:hint="eastAsia" w:ascii="黑体" w:hAnsi="黑体" w:eastAsia="黑体"/>
          <w:b w:val="0"/>
          <w:color w:val="auto"/>
          <w:highlight w:val="none"/>
          <w:lang w:val="en-US" w:eastAsia="zh-CN"/>
        </w:rPr>
        <w:t>二、机构设置</w:t>
      </w:r>
    </w:p>
    <w:p>
      <w:pPr>
        <w:ind w:firstLine="567"/>
        <w:rPr>
          <w:rFonts w:hint="eastAsia" w:eastAsia="仿宋_GB2312"/>
          <w:lang w:val="en-US" w:eastAsia="zh-CN"/>
        </w:rPr>
      </w:pPr>
      <w:r>
        <w:rPr>
          <w:rFonts w:hint="eastAsia" w:ascii="仿宋_GB2312" w:hAnsi="仿宋" w:eastAsia="仿宋_GB2312" w:cs="仿宋"/>
          <w:bCs/>
          <w:sz w:val="32"/>
          <w:szCs w:val="32"/>
        </w:rPr>
        <w:t>本单位为县所属</w:t>
      </w:r>
      <w:r>
        <w:rPr>
          <w:rFonts w:hint="eastAsia" w:ascii="仿宋_GB2312" w:hAnsi="仿宋" w:eastAsia="仿宋_GB2312" w:cs="仿宋"/>
          <w:bCs/>
          <w:sz w:val="32"/>
          <w:szCs w:val="32"/>
          <w:lang w:val="en-US" w:eastAsia="zh-CN"/>
        </w:rPr>
        <w:t>一</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预算单位，单位类型</w:t>
      </w:r>
      <w:r>
        <w:rPr>
          <w:rFonts w:hint="eastAsia" w:ascii="仿宋_GB2312" w:hAnsi="仿宋" w:eastAsia="仿宋_GB2312" w:cs="仿宋"/>
          <w:bCs/>
          <w:sz w:val="32"/>
          <w:szCs w:val="32"/>
        </w:rPr>
        <w:t>为</w:t>
      </w:r>
      <w:r>
        <w:rPr>
          <w:rFonts w:hint="eastAsia" w:ascii="仿宋_GB2312" w:eastAsia="仿宋_GB2312" w:cs="Times New Roman"/>
          <w:color w:val="000000"/>
          <w:sz w:val="32"/>
          <w:szCs w:val="32"/>
          <w:u w:val="none"/>
        </w:rPr>
        <w:t>公益一类事业</w:t>
      </w:r>
      <w:r>
        <w:rPr>
          <w:rFonts w:hint="eastAsia" w:ascii="仿宋_GB2312" w:hAnsi="仿宋" w:eastAsia="仿宋_GB2312" w:cs="仿宋"/>
          <w:bCs/>
          <w:sz w:val="32"/>
          <w:szCs w:val="32"/>
        </w:rPr>
        <w:t>单位，纳入本套决算编制范围的独立核算单位共</w:t>
      </w:r>
      <w:r>
        <w:rPr>
          <w:rFonts w:hint="eastAsia" w:ascii="仿宋_GB2312" w:hAnsi="仿宋" w:eastAsia="仿宋_GB2312" w:cs="仿宋"/>
          <w:bCs/>
          <w:sz w:val="32"/>
          <w:szCs w:val="32"/>
          <w:lang w:val="en-US" w:eastAsia="zh-CN"/>
        </w:rPr>
        <w:t>1</w:t>
      </w:r>
      <w:r>
        <w:rPr>
          <w:rFonts w:hint="eastAsia" w:ascii="仿宋_GB2312" w:hAnsi="仿宋" w:eastAsia="仿宋_GB2312" w:cs="仿宋"/>
          <w:bCs/>
          <w:sz w:val="32"/>
          <w:szCs w:val="32"/>
        </w:rPr>
        <w:t>个，比上年增减</w:t>
      </w:r>
      <w:r>
        <w:rPr>
          <w:rFonts w:hint="eastAsia" w:ascii="仿宋_GB2312" w:hAnsi="仿宋" w:eastAsia="仿宋_GB2312" w:cs="仿宋"/>
          <w:bCs/>
          <w:sz w:val="32"/>
          <w:szCs w:val="32"/>
          <w:lang w:val="en-US" w:eastAsia="zh-CN"/>
        </w:rPr>
        <w:t>0</w:t>
      </w:r>
      <w:r>
        <w:rPr>
          <w:rFonts w:hint="eastAsia" w:ascii="仿宋_GB2312" w:hAnsi="仿宋" w:eastAsia="仿宋_GB2312" w:cs="仿宋"/>
          <w:bCs/>
          <w:sz w:val="32"/>
          <w:szCs w:val="32"/>
        </w:rPr>
        <w:t>个</w:t>
      </w:r>
      <w:r>
        <w:rPr>
          <w:rFonts w:hint="eastAsia" w:ascii="仿宋_GB2312" w:hAnsi="仿宋" w:eastAsia="仿宋_GB2312" w:cs="仿宋"/>
          <w:bCs/>
          <w:sz w:val="32"/>
          <w:szCs w:val="32"/>
          <w:lang w:eastAsia="zh-CN"/>
        </w:rPr>
        <w:t>。</w:t>
      </w: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2023年度部门</w:t>
      </w:r>
      <w:r>
        <w:rPr>
          <w:rStyle w:val="26"/>
          <w:rFonts w:hint="eastAsia" w:ascii="黑体" w:hAnsi="黑体" w:eastAsia="黑体"/>
          <w:b w:val="0"/>
          <w:bCs/>
          <w:color w:val="auto"/>
          <w:highlight w:val="none"/>
        </w:rPr>
        <w:t>决算情况说明</w:t>
      </w:r>
      <w:bookmarkEnd w:id="16"/>
      <w:bookmarkEnd w:id="17"/>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pStyle w:val="6"/>
        <w:spacing w:before="95"/>
        <w:ind w:firstLine="480" w:firstLineChars="200"/>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723900</wp:posOffset>
            </wp:positionH>
            <wp:positionV relativeFrom="paragraph">
              <wp:posOffset>1637030</wp:posOffset>
            </wp:positionV>
            <wp:extent cx="4460875" cy="2524125"/>
            <wp:effectExtent l="0" t="0" r="53975" b="47625"/>
            <wp:wrapTight wrapText="bothSides">
              <wp:wrapPolygon>
                <wp:start x="0" y="0"/>
                <wp:lineTo x="0" y="21518"/>
                <wp:lineTo x="21492" y="21518"/>
                <wp:lineTo x="21492" y="0"/>
                <wp:lineTo x="0" y="0"/>
              </wp:wrapPolygon>
            </wp:wrapTight>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6"/>
                    <a:stretch>
                      <a:fillRect/>
                    </a:stretch>
                  </pic:blipFill>
                  <pic:spPr>
                    <a:xfrm>
                      <a:off x="0" y="0"/>
                      <a:ext cx="4460875" cy="2524125"/>
                    </a:xfrm>
                    <a:prstGeom prst="rect">
                      <a:avLst/>
                    </a:prstGeom>
                    <a:noFill/>
                    <a:ln w="9525">
                      <a:noFill/>
                    </a:ln>
                  </pic:spPr>
                </pic:pic>
              </a:graphicData>
            </a:graphic>
          </wp:anchor>
        </w:drawing>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均为298.11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与2022年度相比，收、支总计各增加188.81</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rPr>
        <w:t>了</w:t>
      </w:r>
      <w:r>
        <w:rPr>
          <w:rFonts w:hint="eastAsia" w:ascii="仿宋" w:hAnsi="仿宋" w:eastAsia="仿宋"/>
          <w:sz w:val="32"/>
          <w:szCs w:val="32"/>
          <w:lang w:val="en-US" w:eastAsia="zh-CN"/>
        </w:rPr>
        <w:t>63</w:t>
      </w:r>
      <w:r>
        <w:rPr>
          <w:rFonts w:hint="eastAsia" w:ascii="仿宋" w:hAnsi="仿宋" w:eastAsia="仿宋"/>
          <w:sz w:val="32"/>
          <w:szCs w:val="32"/>
        </w:rPr>
        <w:t>%，</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原因是</w:t>
      </w:r>
      <w:r>
        <w:rPr>
          <w:rFonts w:hint="eastAsia" w:ascii="仿宋_GB2312" w:hAnsi="仿宋" w:eastAsia="仿宋_GB2312"/>
          <w:sz w:val="32"/>
          <w:szCs w:val="32"/>
          <w:lang w:val="en-US" w:eastAsia="zh-CN"/>
        </w:rPr>
        <w:t>2022年9月考调2人，10月招考1人，保育教育费上交及</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变多</w:t>
      </w:r>
      <w:r>
        <w:rPr>
          <w:rFonts w:hint="eastAsia" w:ascii="仿宋_GB2312" w:hAnsi="仿宋" w:eastAsia="仿宋_GB2312"/>
          <w:sz w:val="32"/>
          <w:szCs w:val="32"/>
        </w:rPr>
        <w:t>。</w:t>
      </w:r>
    </w:p>
    <w:p>
      <w:pPr>
        <w:keepNext w:val="0"/>
        <w:keepLines w:val="0"/>
        <w:widowControl/>
        <w:suppressLineNumbers w:val="0"/>
        <w:jc w:val="left"/>
      </w:pPr>
    </w:p>
    <w:p>
      <w:pPr>
        <w:keepNext w:val="0"/>
        <w:keepLines w:val="0"/>
        <w:widowControl/>
        <w:suppressLineNumbers w:val="0"/>
        <w:jc w:val="left"/>
        <w:rPr>
          <w:rFonts w:hint="eastAsia" w:ascii="仿宋" w:hAnsi="仿宋" w:eastAsia="仿宋" w:cs="仿宋"/>
          <w:bCs/>
          <w:kern w:val="2"/>
          <w:sz w:val="32"/>
          <w:szCs w:val="32"/>
          <w:highlight w:val="none"/>
          <w:lang w:val="en-US" w:eastAsia="zh-CN" w:bidi="ar-SA"/>
        </w:rPr>
      </w:pPr>
      <w:r>
        <w:rPr>
          <w:rFonts w:hint="eastAsia" w:ascii="宋体" w:hAnsi="宋体" w:cs="宋体"/>
          <w:kern w:val="0"/>
          <w:sz w:val="24"/>
          <w:szCs w:val="24"/>
          <w:lang w:val="en-US" w:eastAsia="zh-CN" w:bidi="ar"/>
        </w:rPr>
        <w:t xml:space="preserve">           </w:t>
      </w:r>
    </w:p>
    <w:p>
      <w:pPr>
        <w:spacing w:line="600" w:lineRule="exact"/>
        <w:ind w:firstLine="1120" w:firstLineChars="400"/>
        <w:rPr>
          <w:rFonts w:ascii="仿宋_GB2312" w:eastAsia="仿宋_GB2312"/>
          <w:color w:val="auto"/>
          <w:sz w:val="28"/>
          <w:szCs w:val="28"/>
          <w:highlight w:val="none"/>
        </w:rPr>
      </w:pPr>
      <w:r>
        <w:rPr>
          <w:rFonts w:hint="eastAsia" w:ascii="仿宋" w:hAnsi="仿宋" w:eastAsia="仿宋"/>
          <w:color w:val="auto"/>
          <w:sz w:val="28"/>
          <w:szCs w:val="28"/>
          <w:highlight w:val="none"/>
        </w:rPr>
        <w:t>（图</w:t>
      </w:r>
      <w:r>
        <w:rPr>
          <w:rFonts w:ascii="仿宋" w:hAnsi="仿宋" w:eastAsia="仿宋"/>
          <w:color w:val="auto"/>
          <w:sz w:val="28"/>
          <w:szCs w:val="28"/>
          <w:highlight w:val="none"/>
        </w:rPr>
        <w:t>1</w:t>
      </w:r>
      <w:r>
        <w:rPr>
          <w:rFonts w:hint="eastAsia" w:ascii="仿宋" w:hAnsi="仿宋" w:eastAsia="仿宋"/>
          <w:color w:val="auto"/>
          <w:sz w:val="28"/>
          <w:szCs w:val="28"/>
          <w:highlight w:val="none"/>
        </w:rPr>
        <w:t>：收、支决算总计变动情况图）（柱状图）</w:t>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298.11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293.59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98.48</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4.25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1.52</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keepNext w:val="0"/>
        <w:keepLines w:val="0"/>
        <w:widowControl/>
        <w:suppressLineNumbers w:val="0"/>
        <w:jc w:val="left"/>
        <w:rPr>
          <w:rFonts w:ascii="仿宋" w:hAnsi="仿宋" w:eastAsia="仿宋"/>
          <w:color w:val="auto"/>
          <w:sz w:val="32"/>
          <w:szCs w:val="32"/>
          <w:highlight w:val="none"/>
        </w:rPr>
      </w:pPr>
      <w:r>
        <w:rPr>
          <w:rFonts w:hint="eastAsia" w:ascii="宋体" w:hAnsi="宋体" w:cs="宋体"/>
          <w:kern w:val="0"/>
          <w:sz w:val="24"/>
          <w:szCs w:val="24"/>
          <w:lang w:val="en-US" w:eastAsia="zh-CN" w:bidi="ar"/>
        </w:rPr>
        <w:t xml:space="preserve">        </w:t>
      </w:r>
      <w:r>
        <w:rPr>
          <w:rFonts w:ascii="仿宋" w:hAnsi="仿宋" w:eastAsia="仿宋"/>
          <w:color w:val="auto"/>
          <w:sz w:val="32"/>
          <w:szCs w:val="32"/>
          <w:highlight w:val="none"/>
        </w:rPr>
        <w:drawing>
          <wp:inline distT="0" distB="0" distL="114300" distR="114300">
            <wp:extent cx="4467225" cy="2498725"/>
            <wp:effectExtent l="0" t="0" r="9525" b="15875"/>
            <wp:docPr id="16" name="图片 16" descr="c387c8bad219c1473bae709055f28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387c8bad219c1473bae709055f28c0a"/>
                    <pic:cNvPicPr>
                      <a:picLocks noChangeAspect="1"/>
                    </pic:cNvPicPr>
                  </pic:nvPicPr>
                  <pic:blipFill>
                    <a:blip r:embed="rId7"/>
                    <a:stretch>
                      <a:fillRect/>
                    </a:stretch>
                  </pic:blipFill>
                  <pic:spPr>
                    <a:xfrm>
                      <a:off x="0" y="0"/>
                      <a:ext cx="4467225" cy="2498725"/>
                    </a:xfrm>
                    <a:prstGeom prst="rect">
                      <a:avLst/>
                    </a:prstGeom>
                  </pic:spPr>
                </pic:pic>
              </a:graphicData>
            </a:graphic>
          </wp:inline>
        </w:drawing>
      </w:r>
    </w:p>
    <w:p>
      <w:pPr>
        <w:spacing w:line="600" w:lineRule="exact"/>
        <w:ind w:firstLine="1600" w:firstLineChars="5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lang w:val="en-US" w:eastAsia="zh-CN"/>
        </w:rPr>
        <w:t>度本年支出合计</w:t>
      </w:r>
      <w:r>
        <w:rPr>
          <w:rFonts w:hint="eastAsia" w:ascii="仿宋" w:hAnsi="仿宋" w:eastAsia="仿宋"/>
          <w:color w:val="auto"/>
          <w:sz w:val="32"/>
          <w:szCs w:val="32"/>
          <w:highlight w:val="none"/>
          <w:lang w:eastAsia="zh-CN"/>
        </w:rPr>
        <w:t>2</w:t>
      </w:r>
      <w:r>
        <w:rPr>
          <w:rFonts w:hint="eastAsia" w:ascii="仿宋" w:hAnsi="仿宋" w:eastAsia="仿宋"/>
          <w:color w:val="auto"/>
          <w:sz w:val="32"/>
          <w:szCs w:val="32"/>
          <w:highlight w:val="none"/>
          <w:lang w:val="en-US" w:eastAsia="zh-CN"/>
        </w:rPr>
        <w:t>98.11</w:t>
      </w:r>
      <w:r>
        <w:rPr>
          <w:rFonts w:hint="eastAsia" w:ascii="仿宋" w:hAnsi="仿宋" w:eastAsia="仿宋"/>
          <w:color w:val="auto"/>
          <w:sz w:val="32"/>
          <w:szCs w:val="32"/>
          <w:highlight w:val="none"/>
          <w:lang w:eastAsia="zh-CN"/>
        </w:rPr>
        <w:t>万元，其中：基本支出</w:t>
      </w:r>
      <w:r>
        <w:rPr>
          <w:rFonts w:hint="eastAsia" w:ascii="仿宋" w:hAnsi="仿宋" w:eastAsia="仿宋"/>
          <w:color w:val="auto"/>
          <w:sz w:val="32"/>
          <w:szCs w:val="32"/>
          <w:highlight w:val="none"/>
          <w:lang w:val="en-US" w:eastAsia="zh-CN"/>
        </w:rPr>
        <w:t>235.69</w:t>
      </w:r>
      <w:r>
        <w:rPr>
          <w:rFonts w:hint="eastAsia" w:ascii="仿宋" w:hAnsi="仿宋" w:eastAsia="仿宋"/>
          <w:color w:val="auto"/>
          <w:sz w:val="32"/>
          <w:szCs w:val="32"/>
          <w:highlight w:val="none"/>
          <w:lang w:eastAsia="zh-CN"/>
        </w:rPr>
        <w:t>万元，占全年收支的</w:t>
      </w:r>
      <w:r>
        <w:rPr>
          <w:rFonts w:hint="eastAsia" w:ascii="仿宋" w:hAnsi="仿宋" w:eastAsia="仿宋"/>
          <w:color w:val="auto"/>
          <w:sz w:val="32"/>
          <w:szCs w:val="32"/>
          <w:highlight w:val="none"/>
          <w:lang w:val="en-US" w:eastAsia="zh-CN"/>
        </w:rPr>
        <w:t>79.06</w:t>
      </w:r>
      <w:r>
        <w:rPr>
          <w:rFonts w:hint="eastAsia" w:ascii="仿宋" w:hAnsi="仿宋" w:eastAsia="仿宋"/>
          <w:color w:val="auto"/>
          <w:sz w:val="32"/>
          <w:szCs w:val="32"/>
          <w:highlight w:val="none"/>
          <w:lang w:eastAsia="zh-CN"/>
        </w:rPr>
        <w:t>%，项目支出</w:t>
      </w:r>
      <w:r>
        <w:rPr>
          <w:rFonts w:hint="eastAsia" w:ascii="仿宋" w:hAnsi="仿宋" w:eastAsia="仿宋"/>
          <w:color w:val="auto"/>
          <w:sz w:val="32"/>
          <w:szCs w:val="32"/>
          <w:highlight w:val="none"/>
          <w:lang w:val="en-US" w:eastAsia="zh-CN"/>
        </w:rPr>
        <w:t>62.42</w:t>
      </w:r>
      <w:r>
        <w:rPr>
          <w:rFonts w:hint="eastAsia" w:ascii="仿宋" w:hAnsi="仿宋" w:eastAsia="仿宋"/>
          <w:color w:val="auto"/>
          <w:sz w:val="32"/>
          <w:szCs w:val="32"/>
          <w:highlight w:val="none"/>
          <w:lang w:eastAsia="zh-CN"/>
        </w:rPr>
        <w:t>万元，占全年支出的</w:t>
      </w:r>
      <w:r>
        <w:rPr>
          <w:rFonts w:hint="eastAsia" w:ascii="仿宋" w:hAnsi="仿宋" w:eastAsia="仿宋"/>
          <w:color w:val="auto"/>
          <w:sz w:val="32"/>
          <w:szCs w:val="32"/>
          <w:highlight w:val="none"/>
          <w:lang w:val="en-US" w:eastAsia="zh-CN"/>
        </w:rPr>
        <w:t>20.94</w:t>
      </w:r>
      <w:r>
        <w:rPr>
          <w:rFonts w:hint="eastAsia" w:ascii="仿宋" w:hAnsi="仿宋" w:eastAsia="仿宋"/>
          <w:color w:val="auto"/>
          <w:sz w:val="32"/>
          <w:szCs w:val="32"/>
          <w:highlight w:val="none"/>
          <w:lang w:eastAsia="zh-CN"/>
        </w:rPr>
        <w:t>%。</w:t>
      </w:r>
    </w:p>
    <w:p>
      <w:pPr>
        <w:keepNext w:val="0"/>
        <w:keepLines w:val="0"/>
        <w:widowControl/>
        <w:suppressLineNumbers w:val="0"/>
        <w:jc w:val="left"/>
        <w:rPr>
          <w:rFonts w:ascii="仿宋" w:hAnsi="仿宋" w:eastAsia="仿宋"/>
          <w:color w:val="auto"/>
          <w:sz w:val="32"/>
          <w:szCs w:val="32"/>
          <w:highlight w:val="none"/>
          <w:shd w:val="pct10" w:color="auto" w:fill="FFFFFF"/>
        </w:rPr>
      </w:pPr>
      <w:r>
        <w:rPr>
          <w:rFonts w:hint="eastAsia" w:ascii="宋体" w:hAnsi="宋体" w:eastAsia="宋体" w:cs="宋体"/>
          <w:kern w:val="0"/>
          <w:sz w:val="24"/>
          <w:szCs w:val="24"/>
          <w:lang w:val="en-US" w:eastAsia="zh-CN" w:bidi="ar"/>
        </w:rPr>
        <w:t xml:space="preserve">       </w:t>
      </w:r>
      <w:r>
        <w:rPr>
          <w:rFonts w:ascii="宋体" w:hAnsi="宋体" w:eastAsia="宋体" w:cs="宋体"/>
          <w:sz w:val="24"/>
          <w:szCs w:val="24"/>
        </w:rPr>
        <w:drawing>
          <wp:inline distT="0" distB="0" distL="114300" distR="114300">
            <wp:extent cx="4496435" cy="2512695"/>
            <wp:effectExtent l="0" t="0" r="18415" b="1905"/>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8"/>
                    <a:stretch>
                      <a:fillRect/>
                    </a:stretch>
                  </pic:blipFill>
                  <pic:spPr>
                    <a:xfrm>
                      <a:off x="0" y="0"/>
                      <a:ext cx="4496435" cy="2512695"/>
                    </a:xfrm>
                    <a:prstGeom prst="rect">
                      <a:avLst/>
                    </a:prstGeom>
                    <a:noFill/>
                    <a:ln w="9525">
                      <a:noFill/>
                    </a:ln>
                  </pic:spPr>
                </pic:pic>
              </a:graphicData>
            </a:graphic>
          </wp:inline>
        </w:drawing>
      </w:r>
    </w:p>
    <w:p>
      <w:pPr>
        <w:spacing w:line="600" w:lineRule="exact"/>
        <w:ind w:firstLine="1280" w:firstLineChars="400"/>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（图3：支出决算结构图）（饼状图）</w:t>
      </w:r>
      <w:bookmarkStart w:id="24" w:name="_Toc15377208"/>
      <w:bookmarkStart w:id="25" w:name="_Toc15396606"/>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pStyle w:val="6"/>
        <w:spacing w:before="95"/>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298.11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188.81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w:t>
      </w: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647700</wp:posOffset>
            </wp:positionH>
            <wp:positionV relativeFrom="paragraph">
              <wp:posOffset>895350</wp:posOffset>
            </wp:positionV>
            <wp:extent cx="4039870" cy="2299335"/>
            <wp:effectExtent l="0" t="0" r="17780" b="5715"/>
            <wp:wrapTopAndBottom/>
            <wp:docPr id="2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IMG_256"/>
                    <pic:cNvPicPr>
                      <a:picLocks noChangeAspect="1"/>
                    </pic:cNvPicPr>
                  </pic:nvPicPr>
                  <pic:blipFill>
                    <a:blip r:embed="rId9"/>
                    <a:stretch>
                      <a:fillRect/>
                    </a:stretch>
                  </pic:blipFill>
                  <pic:spPr>
                    <a:xfrm>
                      <a:off x="0" y="0"/>
                      <a:ext cx="4039870" cy="2299335"/>
                    </a:xfrm>
                    <a:prstGeom prst="rect">
                      <a:avLst/>
                    </a:prstGeom>
                    <a:noFill/>
                    <a:ln w="9525">
                      <a:noFill/>
                    </a:ln>
                  </pic:spPr>
                </pic:pic>
              </a:graphicData>
            </a:graphic>
          </wp:anchor>
        </w:drawing>
      </w:r>
      <w:r>
        <w:rPr>
          <w:rFonts w:hint="eastAsia" w:ascii="仿宋" w:hAnsi="仿宋" w:eastAsia="仿宋"/>
          <w:color w:val="auto"/>
          <w:sz w:val="32"/>
          <w:szCs w:val="32"/>
          <w:highlight w:val="none"/>
        </w:rPr>
        <w:t>要变动原因</w:t>
      </w:r>
      <w:r>
        <w:rPr>
          <w:rFonts w:hint="eastAsia" w:ascii="仿宋_GB2312" w:hAnsi="仿宋" w:eastAsia="仿宋_GB2312"/>
          <w:sz w:val="32"/>
          <w:szCs w:val="32"/>
        </w:rPr>
        <w:t>是</w:t>
      </w:r>
      <w:r>
        <w:rPr>
          <w:rFonts w:hint="eastAsia" w:ascii="仿宋_GB2312" w:hAnsi="仿宋" w:eastAsia="仿宋_GB2312"/>
          <w:sz w:val="32"/>
          <w:szCs w:val="32"/>
          <w:lang w:val="en-US" w:eastAsia="zh-CN"/>
        </w:rPr>
        <w:t>2022年9月考调2人，10月招考1人，保育教育费上交及</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变多</w:t>
      </w:r>
      <w:r>
        <w:rPr>
          <w:rFonts w:hint="eastAsia" w:ascii="仿宋_GB2312" w:hAnsi="仿宋" w:eastAsia="仿宋_GB2312"/>
          <w:sz w:val="32"/>
          <w:szCs w:val="32"/>
        </w:rPr>
        <w:t>。</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7"/>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pStyle w:val="6"/>
        <w:spacing w:before="95"/>
        <w:ind w:firstLine="720" w:firstLineChars="300"/>
        <w:rPr>
          <w:rFonts w:hint="eastAsia" w:ascii="仿宋_GB2312" w:hAnsi="仿宋" w:eastAsia="仿宋_GB2312"/>
          <w:sz w:val="32"/>
          <w:szCs w:val="32"/>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771525</wp:posOffset>
            </wp:positionH>
            <wp:positionV relativeFrom="paragraph">
              <wp:posOffset>1996440</wp:posOffset>
            </wp:positionV>
            <wp:extent cx="3934460" cy="2290445"/>
            <wp:effectExtent l="0" t="0" r="8890" b="0"/>
            <wp:wrapTight wrapText="bothSides">
              <wp:wrapPolygon>
                <wp:start x="0" y="0"/>
                <wp:lineTo x="0" y="21378"/>
                <wp:lineTo x="21544" y="21378"/>
                <wp:lineTo x="21544" y="0"/>
                <wp:lineTo x="0" y="0"/>
              </wp:wrapPolygon>
            </wp:wrapTight>
            <wp:docPr id="2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IMG_256"/>
                    <pic:cNvPicPr>
                      <a:picLocks noChangeAspect="1"/>
                    </pic:cNvPicPr>
                  </pic:nvPicPr>
                  <pic:blipFill>
                    <a:blip r:embed="rId10"/>
                    <a:stretch>
                      <a:fillRect/>
                    </a:stretch>
                  </pic:blipFill>
                  <pic:spPr>
                    <a:xfrm>
                      <a:off x="0" y="0"/>
                      <a:ext cx="3934460" cy="2290445"/>
                    </a:xfrm>
                    <a:prstGeom prst="rect">
                      <a:avLst/>
                    </a:prstGeom>
                    <a:noFill/>
                    <a:ln w="9525">
                      <a:noFill/>
                    </a:ln>
                  </pic:spPr>
                </pic:pic>
              </a:graphicData>
            </a:graphic>
          </wp:anchor>
        </w:drawing>
      </w: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293.59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98.48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184.36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40.71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sz w:val="32"/>
          <w:szCs w:val="32"/>
          <w:lang w:val="en-US" w:eastAsia="zh-CN"/>
        </w:rPr>
        <w:t>2022年9月考调2人，10月招考1人，保育教育费上交及</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变多</w:t>
      </w:r>
      <w:r>
        <w:rPr>
          <w:rFonts w:hint="eastAsia" w:ascii="仿宋_GB2312" w:hAnsi="仿宋" w:eastAsia="仿宋_GB2312"/>
          <w:sz w:val="32"/>
          <w:szCs w:val="32"/>
        </w:rPr>
        <w:t>。</w:t>
      </w:r>
    </w:p>
    <w:p>
      <w:pPr>
        <w:pStyle w:val="6"/>
        <w:spacing w:before="95"/>
        <w:ind w:firstLine="640" w:firstLineChars="200"/>
        <w:rPr>
          <w:rFonts w:hint="eastAsia" w:ascii="仿宋_GB2312" w:hAnsi="仿宋" w:eastAsia="仿宋_GB2312"/>
          <w:sz w:val="32"/>
          <w:szCs w:val="32"/>
        </w:rPr>
      </w:pPr>
    </w:p>
    <w:p>
      <w:pPr>
        <w:spacing w:line="600" w:lineRule="exact"/>
        <w:ind w:left="-199" w:leftChars="-95" w:firstLine="0" w:firstLineChars="0"/>
        <w:rPr>
          <w:rFonts w:hint="eastAsia" w:ascii="仿宋" w:hAnsi="仿宋" w:eastAsia="仿宋"/>
          <w:color w:val="auto"/>
          <w:sz w:val="32"/>
          <w:szCs w:val="32"/>
          <w:highlight w:val="none"/>
        </w:rPr>
      </w:pPr>
    </w:p>
    <w:p>
      <w:pPr>
        <w:spacing w:line="600" w:lineRule="exact"/>
        <w:ind w:left="-199" w:leftChars="-95" w:firstLine="0" w:firstLineChars="0"/>
        <w:rPr>
          <w:rFonts w:hint="eastAsia" w:ascii="仿宋" w:hAnsi="仿宋" w:eastAsia="仿宋"/>
          <w:color w:val="auto"/>
          <w:sz w:val="32"/>
          <w:szCs w:val="32"/>
          <w:highlight w:val="none"/>
        </w:rPr>
      </w:pPr>
    </w:p>
    <w:p>
      <w:pPr>
        <w:spacing w:line="600" w:lineRule="exact"/>
        <w:ind w:left="-199" w:leftChars="-95" w:firstLine="0" w:firstLineChars="0"/>
        <w:rPr>
          <w:rFonts w:hint="eastAsia" w:ascii="仿宋" w:hAnsi="仿宋" w:eastAsia="仿宋"/>
          <w:color w:val="auto"/>
          <w:sz w:val="32"/>
          <w:szCs w:val="32"/>
          <w:highlight w:val="none"/>
        </w:rPr>
      </w:pPr>
    </w:p>
    <w:p>
      <w:pPr>
        <w:spacing w:line="600" w:lineRule="exact"/>
        <w:ind w:left="-199" w:leftChars="-95" w:firstLine="0" w:firstLineChars="0"/>
        <w:rPr>
          <w:rFonts w:hint="eastAsia" w:ascii="仿宋" w:hAnsi="仿宋" w:eastAsia="仿宋"/>
          <w:color w:val="auto"/>
          <w:sz w:val="32"/>
          <w:szCs w:val="32"/>
          <w:highlight w:val="none"/>
        </w:rPr>
      </w:pPr>
    </w:p>
    <w:p>
      <w:pPr>
        <w:spacing w:line="600" w:lineRule="exact"/>
        <w:ind w:left="-199" w:leftChars="-95" w:firstLine="0" w:firstLineChars="0"/>
        <w:rPr>
          <w:rFonts w:hint="eastAsia" w:ascii="仿宋" w:hAnsi="仿宋" w:eastAsia="仿宋"/>
          <w:color w:val="auto"/>
          <w:sz w:val="32"/>
          <w:szCs w:val="32"/>
          <w:highlight w:val="none"/>
        </w:rPr>
      </w:pPr>
    </w:p>
    <w:p>
      <w:pPr>
        <w:spacing w:line="600" w:lineRule="exact"/>
        <w:ind w:left="-199" w:leftChars="-95" w:firstLine="0"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2"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firstLineChars="200"/>
        <w:rPr>
          <w:rFonts w:hint="eastAsia" w:ascii="仿宋_GB2312" w:hAnsi="仿宋" w:eastAsia="仿宋_GB2312"/>
          <w:sz w:val="32"/>
          <w:szCs w:val="32"/>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293.59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_GB2312" w:hAnsi="仿宋" w:eastAsia="仿宋_GB2312"/>
          <w:sz w:val="32"/>
          <w:szCs w:val="32"/>
        </w:rPr>
        <w:t>教育支出</w:t>
      </w:r>
      <w:r>
        <w:rPr>
          <w:rFonts w:ascii="仿宋_GB2312" w:hAnsi="仿宋" w:eastAsia="仿宋_GB2312"/>
          <w:sz w:val="32"/>
          <w:szCs w:val="32"/>
        </w:rPr>
        <w:t>2</w:t>
      </w:r>
      <w:r>
        <w:rPr>
          <w:rFonts w:hint="eastAsia" w:ascii="仿宋_GB2312" w:hAnsi="仿宋" w:eastAsia="仿宋_GB2312"/>
          <w:sz w:val="32"/>
          <w:szCs w:val="32"/>
          <w:lang w:val="en-US" w:eastAsia="zh-CN"/>
        </w:rPr>
        <w:t>71.23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92.38</w:t>
      </w:r>
      <w:r>
        <w:rPr>
          <w:rFonts w:ascii="仿宋_GB2312" w:hAnsi="仿宋" w:eastAsia="仿宋_GB2312"/>
          <w:sz w:val="32"/>
          <w:szCs w:val="32"/>
        </w:rPr>
        <w:t>%</w:t>
      </w:r>
      <w:r>
        <w:rPr>
          <w:rFonts w:hint="eastAsia" w:ascii="仿宋_GB2312" w:hAnsi="仿宋" w:eastAsia="仿宋_GB2312"/>
          <w:sz w:val="32"/>
          <w:szCs w:val="32"/>
        </w:rPr>
        <w:t>；社会保障和就业支出</w:t>
      </w:r>
      <w:r>
        <w:rPr>
          <w:rFonts w:hint="eastAsia" w:ascii="仿宋_GB2312" w:hAnsi="仿宋" w:eastAsia="仿宋_GB2312"/>
          <w:sz w:val="32"/>
          <w:szCs w:val="32"/>
          <w:lang w:val="en-US" w:eastAsia="zh-CN"/>
        </w:rPr>
        <w:t>9.73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3.32</w:t>
      </w:r>
      <w:r>
        <w:rPr>
          <w:rFonts w:ascii="仿宋_GB2312" w:hAnsi="仿宋" w:eastAsia="仿宋_GB2312"/>
          <w:sz w:val="32"/>
          <w:szCs w:val="32"/>
        </w:rPr>
        <w:t>%</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5.56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1.89</w:t>
      </w:r>
      <w:r>
        <w:rPr>
          <w:rFonts w:ascii="仿宋_GB2312" w:hAnsi="仿宋" w:eastAsia="仿宋_GB2312"/>
          <w:sz w:val="32"/>
          <w:szCs w:val="32"/>
        </w:rPr>
        <w:t>%</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7.07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2.41</w:t>
      </w:r>
      <w:r>
        <w:rPr>
          <w:rFonts w:ascii="仿宋_GB2312" w:hAnsi="仿宋" w:eastAsia="仿宋_GB2312"/>
          <w:sz w:val="32"/>
          <w:szCs w:val="32"/>
        </w:rPr>
        <w:t>%</w:t>
      </w:r>
      <w:r>
        <w:rPr>
          <w:rFonts w:hint="eastAsia" w:ascii="仿宋_GB2312" w:hAnsi="仿宋" w:eastAsia="仿宋_GB2312"/>
          <w:sz w:val="32"/>
          <w:szCs w:val="32"/>
          <w:lang w:eastAsia="zh-CN"/>
        </w:rPr>
        <w:t>。</w:t>
      </w:r>
    </w:p>
    <w:p>
      <w:pPr>
        <w:spacing w:line="600" w:lineRule="exact"/>
        <w:ind w:firstLine="640"/>
        <w:rPr>
          <w:rFonts w:ascii="仿宋" w:hAnsi="仿宋" w:eastAsia="仿宋"/>
          <w:color w:val="auto"/>
          <w:sz w:val="32"/>
          <w:szCs w:val="32"/>
          <w:highlight w:val="none"/>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415925</wp:posOffset>
            </wp:positionH>
            <wp:positionV relativeFrom="paragraph">
              <wp:posOffset>171450</wp:posOffset>
            </wp:positionV>
            <wp:extent cx="4733925" cy="2667000"/>
            <wp:effectExtent l="0" t="0" r="9525" b="0"/>
            <wp:wrapTopAndBottom/>
            <wp:docPr id="2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IMG_256"/>
                    <pic:cNvPicPr>
                      <a:picLocks noChangeAspect="1"/>
                    </pic:cNvPicPr>
                  </pic:nvPicPr>
                  <pic:blipFill>
                    <a:blip r:embed="rId11"/>
                    <a:stretch>
                      <a:fillRect/>
                    </a:stretch>
                  </pic:blipFill>
                  <pic:spPr>
                    <a:xfrm>
                      <a:off x="0" y="0"/>
                      <a:ext cx="4733925" cy="2667000"/>
                    </a:xfrm>
                    <a:prstGeom prst="rect">
                      <a:avLst/>
                    </a:prstGeom>
                    <a:noFill/>
                    <a:ln w="9525">
                      <a:noFill/>
                    </a:ln>
                  </pic:spPr>
                </pic:pic>
              </a:graphicData>
            </a:graphic>
          </wp:anchor>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2"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293.59万元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pPr>
        <w:spacing w:line="600" w:lineRule="exact"/>
        <w:ind w:firstLine="642"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w:t>
      </w:r>
      <w:r>
        <w:rPr>
          <w:rStyle w:val="16"/>
          <w:rFonts w:hint="eastAsia" w:ascii="仿宋" w:hAnsi="仿宋" w:eastAsia="仿宋"/>
          <w:bCs/>
          <w:color w:val="auto"/>
          <w:sz w:val="32"/>
          <w:szCs w:val="32"/>
          <w:highlight w:val="none"/>
          <w:lang w:val="en-US" w:eastAsia="zh-CN"/>
        </w:rPr>
        <w:t>类普通教育学前教育</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271.23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9.73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5.56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eastAsia="zh-CN"/>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7.07</w:t>
      </w:r>
      <w:r>
        <w:rPr>
          <w:rFonts w:hint="eastAsia" w:ascii="仿宋" w:hAnsi="仿宋" w:eastAsia="仿宋"/>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Fonts w:hint="eastAsia" w:ascii="仿宋" w:hAnsi="仿宋" w:eastAsia="仿宋"/>
          <w:color w:val="auto"/>
          <w:sz w:val="32"/>
          <w:szCs w:val="32"/>
          <w:highlight w:val="none"/>
          <w:lang w:val="en-US" w:eastAsia="zh-CN"/>
        </w:rPr>
        <w:t>%</w:t>
      </w:r>
    </w:p>
    <w:p>
      <w:pPr>
        <w:tabs>
          <w:tab w:val="right" w:pos="8306"/>
        </w:tabs>
        <w:spacing w:line="600" w:lineRule="exact"/>
        <w:ind w:firstLine="640"/>
        <w:outlineLvl w:val="1"/>
        <w:rPr>
          <w:rStyle w:val="27"/>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293.59</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99.56</w:t>
      </w:r>
      <w:r>
        <w:rPr>
          <w:rFonts w:hint="eastAsia" w:ascii="仿宋" w:hAnsi="仿宋" w:eastAsia="仿宋"/>
          <w:color w:val="auto"/>
          <w:sz w:val="32"/>
          <w:szCs w:val="32"/>
          <w:highlight w:val="none"/>
        </w:rPr>
        <w:t>万元，主要包括：基本工资、津贴补贴、绩效工资、机关事业单位基本养老保险缴费、其他社会保障缴费、其他工资福利支出、医疗费补助、住房公积金、其他对个人和家庭的补助支出等。</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136.13</w:t>
      </w:r>
      <w:r>
        <w:rPr>
          <w:rFonts w:hint="eastAsia" w:ascii="仿宋" w:hAnsi="仿宋" w:eastAsia="仿宋"/>
          <w:color w:val="auto"/>
          <w:sz w:val="32"/>
          <w:szCs w:val="32"/>
          <w:highlight w:val="none"/>
        </w:rPr>
        <w:t>万元，主要包括：办公费、水费、电费、邮电费、</w:t>
      </w:r>
      <w:r>
        <w:rPr>
          <w:rFonts w:hint="eastAsia" w:ascii="仿宋" w:hAnsi="仿宋" w:eastAsia="仿宋"/>
          <w:color w:val="auto"/>
          <w:sz w:val="32"/>
          <w:szCs w:val="32"/>
          <w:highlight w:val="none"/>
          <w:lang w:val="en-US" w:eastAsia="zh-CN"/>
        </w:rPr>
        <w:t>培训费、</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等</w:t>
      </w:r>
      <w:r>
        <w:rPr>
          <w:rFonts w:hint="eastAsia" w:ascii="仿宋" w:hAnsi="仿宋" w:eastAsia="仿宋"/>
          <w:color w:val="auto"/>
          <w:sz w:val="32"/>
          <w:szCs w:val="32"/>
          <w:highlight w:val="none"/>
        </w:rPr>
        <w:t>。</w:t>
      </w:r>
    </w:p>
    <w:p>
      <w:pPr>
        <w:spacing w:line="600" w:lineRule="exact"/>
        <w:ind w:firstLine="640"/>
        <w:outlineLvl w:val="1"/>
        <w:rPr>
          <w:rStyle w:val="27"/>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36"/>
      <w:bookmarkEnd w:id="37"/>
    </w:p>
    <w:p>
      <w:pPr>
        <w:spacing w:line="600" w:lineRule="exact"/>
        <w:ind w:firstLine="640"/>
        <w:rPr>
          <w:rFonts w:hint="eastAsia" w:ascii="仿宋" w:hAnsi="仿宋" w:eastAsia="仿宋"/>
          <w:b/>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年“三公”经费</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p>
    <w:p>
      <w:pPr>
        <w:spacing w:line="600" w:lineRule="exact"/>
        <w:ind w:firstLine="640"/>
        <w:outlineLvl w:val="1"/>
        <w:rPr>
          <w:rStyle w:val="27"/>
          <w:rFonts w:ascii="黑体" w:hAnsi="黑体" w:eastAsia="黑体"/>
          <w:color w:val="auto"/>
          <w:highlight w:val="none"/>
        </w:rPr>
      </w:pPr>
      <w:bookmarkStart w:id="38" w:name="_Toc15396610"/>
      <w:bookmarkStart w:id="39" w:name="_Toc15377218"/>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38"/>
      <w:bookmarkEnd w:id="39"/>
    </w:p>
    <w:p>
      <w:p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4.52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numPr>
          <w:ilvl w:val="0"/>
          <w:numId w:val="2"/>
        </w:numPr>
        <w:spacing w:line="600" w:lineRule="exact"/>
        <w:ind w:firstLine="640"/>
        <w:outlineLvl w:val="1"/>
        <w:rPr>
          <w:rStyle w:val="27"/>
          <w:rFonts w:ascii="黑体" w:hAnsi="黑体" w:eastAsia="黑体"/>
          <w:b w:val="0"/>
          <w:color w:val="auto"/>
          <w:highlight w:val="none"/>
        </w:rPr>
      </w:pPr>
      <w:bookmarkStart w:id="40" w:name="_Toc15377219"/>
      <w:bookmarkStart w:id="41" w:name="_Toc15396611"/>
      <w:r>
        <w:rPr>
          <w:rStyle w:val="27"/>
          <w:rFonts w:hint="eastAsia" w:ascii="黑体" w:hAnsi="黑体" w:eastAsia="黑体"/>
          <w:b w:val="0"/>
          <w:color w:val="auto"/>
          <w:highlight w:val="none"/>
        </w:rPr>
        <w:t>国有资本经营预算支出决算情况说明</w:t>
      </w:r>
      <w:bookmarkEnd w:id="40"/>
      <w:bookmarkEnd w:id="41"/>
    </w:p>
    <w:p>
      <w:pPr>
        <w:spacing w:line="600" w:lineRule="exact"/>
        <w:ind w:firstLine="640"/>
        <w:rPr>
          <w:rFonts w:ascii="方正小标宋简体" w:hAnsi="方正小标宋简体" w:eastAsia="方正小标宋简体" w:cs="方正小标宋简体"/>
          <w:color w:val="auto"/>
          <w:sz w:val="44"/>
          <w:szCs w:val="44"/>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7"/>
          <w:rFonts w:hint="eastAsia" w:ascii="黑体" w:hAnsi="黑体" w:eastAsia="黑体"/>
          <w:b w:val="0"/>
          <w:color w:val="auto"/>
          <w:highlight w:val="none"/>
        </w:rPr>
      </w:pPr>
      <w:bookmarkStart w:id="42" w:name="_Toc15377221"/>
      <w:bookmarkStart w:id="43" w:name="_Toc15396612"/>
      <w:r>
        <w:rPr>
          <w:rStyle w:val="27"/>
          <w:rFonts w:hint="eastAsia" w:ascii="黑体" w:hAnsi="黑体" w:eastAsia="黑体"/>
          <w:b w:val="0"/>
          <w:color w:val="auto"/>
          <w:highlight w:val="none"/>
        </w:rPr>
        <w:t>其他重要事项的情况说明</w:t>
      </w:r>
      <w:bookmarkEnd w:id="42"/>
      <w:bookmarkEnd w:id="43"/>
    </w:p>
    <w:p>
      <w:pPr>
        <w:spacing w:line="600" w:lineRule="exact"/>
        <w:ind w:firstLine="642" w:firstLineChars="200"/>
        <w:outlineLvl w:val="2"/>
        <w:rPr>
          <w:rFonts w:ascii="仿宋" w:hAnsi="仿宋" w:eastAsia="仿宋"/>
          <w:color w:val="auto"/>
          <w:sz w:val="32"/>
          <w:szCs w:val="32"/>
          <w:highlight w:val="none"/>
        </w:rPr>
      </w:pPr>
      <w:bookmarkStart w:id="44" w:name="_Toc15377222"/>
      <w:r>
        <w:rPr>
          <w:rFonts w:hint="eastAsia" w:ascii="仿宋" w:hAnsi="仿宋" w:eastAsia="仿宋"/>
          <w:b/>
          <w:color w:val="auto"/>
          <w:sz w:val="32"/>
          <w:szCs w:val="32"/>
          <w:highlight w:val="none"/>
        </w:rPr>
        <w:t>（一）机关运行经费支出情况</w:t>
      </w:r>
      <w:bookmarkEnd w:id="44"/>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泸县惠济路幼儿园</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5" w:name="_Toc15377223"/>
      <w:r>
        <w:rPr>
          <w:rFonts w:hint="eastAsia" w:ascii="仿宋" w:hAnsi="仿宋" w:eastAsia="仿宋"/>
          <w:b/>
          <w:color w:val="auto"/>
          <w:sz w:val="32"/>
          <w:szCs w:val="32"/>
          <w:highlight w:val="none"/>
        </w:rPr>
        <w:t>（二）政府采购支出情况</w:t>
      </w:r>
      <w:bookmarkEnd w:id="45"/>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泸县惠济路幼儿园</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6" w:name="_Toc15377224"/>
      <w:r>
        <w:rPr>
          <w:rFonts w:hint="eastAsia" w:ascii="仿宋" w:hAnsi="仿宋" w:eastAsia="仿宋"/>
          <w:b/>
          <w:color w:val="auto"/>
          <w:sz w:val="32"/>
          <w:szCs w:val="32"/>
          <w:highlight w:val="none"/>
        </w:rPr>
        <w:t>（三）国有资产占有使用情况</w:t>
      </w:r>
      <w:bookmarkEnd w:id="46"/>
    </w:p>
    <w:p>
      <w:pPr>
        <w:autoSpaceDE w:val="0"/>
        <w:autoSpaceDN w:val="0"/>
        <w:adjustRightInd w:val="0"/>
        <w:spacing w:line="600" w:lineRule="exact"/>
        <w:ind w:firstLine="640" w:firstLineChars="200"/>
        <w:jc w:val="left"/>
        <w:rPr>
          <w:rFonts w:hint="eastAsia" w:ascii="仿宋" w:hAnsi="仿宋" w:eastAsia="仿宋_GB2312"/>
          <w:b/>
          <w:color w:val="auto"/>
          <w:sz w:val="32"/>
          <w:szCs w:val="32"/>
          <w:highlight w:val="none"/>
          <w:lang w:val="en-US" w:eastAsia="zh-CN"/>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泸县惠济路幼儿园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6"/>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w:t>
      </w:r>
      <w:r>
        <w:rPr>
          <w:rFonts w:hint="eastAsia" w:hAnsi="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6"/>
          <w:rFonts w:ascii="黑体" w:hAnsi="黑体" w:eastAsia="黑体"/>
          <w:b w:val="0"/>
          <w:color w:val="auto"/>
          <w:highlight w:val="none"/>
        </w:rPr>
      </w:pPr>
      <w:bookmarkStart w:id="47" w:name="_Toc15396613"/>
      <w:bookmarkStart w:id="48"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7"/>
      <w:bookmarkEnd w:id="48"/>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教育</w:t>
      </w:r>
      <w:r>
        <w:rPr>
          <w:rFonts w:hint="eastAsia" w:ascii="仿宋_GB2312" w:eastAsia="仿宋_GB2312"/>
          <w:color w:val="auto"/>
          <w:sz w:val="32"/>
          <w:szCs w:val="32"/>
          <w:highlight w:val="none"/>
          <w:lang w:val="en-US" w:eastAsia="zh-CN"/>
        </w:rPr>
        <w:t>普通教育学前教育</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指学前教育支出</w:t>
      </w:r>
      <w:r>
        <w:rPr>
          <w:rFonts w:hint="eastAsia" w:ascii="仿宋_GB2312" w:eastAsia="仿宋_GB2312"/>
          <w:color w:val="auto"/>
          <w:sz w:val="32"/>
          <w:szCs w:val="32"/>
          <w:highlight w:val="none"/>
        </w:rPr>
        <w:t>。</w:t>
      </w:r>
    </w:p>
    <w:p>
      <w:pPr>
        <w:tabs>
          <w:tab w:val="left" w:pos="891"/>
        </w:tabs>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社会保障和就业：指</w:t>
      </w:r>
      <w:r>
        <w:rPr>
          <w:rFonts w:hint="eastAsia" w:ascii="仿宋_GB2312" w:eastAsia="仿宋_GB2312"/>
          <w:color w:val="auto"/>
          <w:sz w:val="32"/>
          <w:szCs w:val="32"/>
          <w:highlight w:val="none"/>
          <w:lang w:val="en-US" w:eastAsia="zh-CN"/>
        </w:rPr>
        <w:t>社会保障与就业方面的支出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指卫生健康方面的支出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住房保障：指</w:t>
      </w:r>
      <w:r>
        <w:rPr>
          <w:rFonts w:hint="eastAsia" w:ascii="仿宋_GB2312" w:eastAsia="仿宋_GB2312"/>
          <w:color w:val="auto"/>
          <w:sz w:val="32"/>
          <w:szCs w:val="32"/>
          <w:highlight w:val="none"/>
          <w:lang w:val="en-US" w:eastAsia="zh-CN"/>
        </w:rPr>
        <w:t>用于住房方面的支出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6"/>
          <w:rFonts w:hint="eastAsia" w:ascii="黑体" w:hAnsi="黑体" w:eastAsia="黑体"/>
          <w:b w:val="0"/>
          <w:color w:val="auto"/>
          <w:highlight w:val="none"/>
          <w:lang w:eastAsia="zh-CN"/>
        </w:rPr>
      </w:pPr>
      <w:bookmarkStart w:id="49" w:name="_Toc15377226"/>
      <w:r>
        <w:rPr>
          <w:rFonts w:ascii="宋体"/>
          <w:b/>
          <w:color w:val="auto"/>
          <w:sz w:val="44"/>
          <w:szCs w:val="44"/>
          <w:highlight w:val="none"/>
        </w:rPr>
        <w:br w:type="page"/>
      </w:r>
      <w:bookmarkStart w:id="50"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pPr>
        <w:pStyle w:val="2"/>
        <w:rPr>
          <w:rFonts w:hint="eastAsia"/>
        </w:rPr>
      </w:pPr>
    </w:p>
    <w:bookmarkEnd w:id="50"/>
    <w:p>
      <w:pPr>
        <w:spacing w:line="240" w:lineRule="auto"/>
        <w:ind w:left="-1039" w:leftChars="-495" w:firstLine="0" w:firstLineChars="0"/>
        <w:jc w:val="center"/>
        <w:outlineLvl w:val="0"/>
        <w:rPr>
          <w:rFonts w:hint="eastAsia" w:ascii="黑体" w:hAnsi="黑体" w:eastAsia="黑体"/>
          <w:color w:val="auto"/>
          <w:sz w:val="44"/>
          <w:szCs w:val="44"/>
          <w:highlight w:val="none"/>
          <w:lang w:eastAsia="zh-CN"/>
        </w:rPr>
      </w:pPr>
      <w:bookmarkStart w:id="51" w:name="_Toc15396618"/>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-140970</wp:posOffset>
            </wp:positionH>
            <wp:positionV relativeFrom="paragraph">
              <wp:posOffset>198120</wp:posOffset>
            </wp:positionV>
            <wp:extent cx="5865495" cy="4267200"/>
            <wp:effectExtent l="0" t="0" r="1905" b="0"/>
            <wp:wrapTopAndBottom/>
            <wp:docPr id="2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56"/>
                    <pic:cNvPicPr>
                      <a:picLocks noChangeAspect="1"/>
                    </pic:cNvPicPr>
                  </pic:nvPicPr>
                  <pic:blipFill>
                    <a:blip r:embed="rId12"/>
                    <a:stretch>
                      <a:fillRect/>
                    </a:stretch>
                  </pic:blipFill>
                  <pic:spPr>
                    <a:xfrm>
                      <a:off x="0" y="0"/>
                      <a:ext cx="5865495" cy="4267200"/>
                    </a:xfrm>
                    <a:prstGeom prst="rect">
                      <a:avLst/>
                    </a:prstGeom>
                    <a:noFill/>
                    <a:ln w="9525">
                      <a:noFill/>
                    </a:ln>
                  </pic:spPr>
                </pic:pic>
              </a:graphicData>
            </a:graphic>
          </wp:anchor>
        </w:drawing>
      </w:r>
    </w:p>
    <w:p>
      <w:pPr>
        <w:spacing w:line="240" w:lineRule="auto"/>
        <w:jc w:val="center"/>
        <w:outlineLvl w:val="0"/>
        <w:rPr>
          <w:rFonts w:hint="eastAsia" w:ascii="黑体" w:hAnsi="黑体" w:eastAsia="黑体"/>
          <w:color w:val="auto"/>
          <w:sz w:val="44"/>
          <w:szCs w:val="44"/>
          <w:highlight w:val="none"/>
        </w:rPr>
      </w:pPr>
    </w:p>
    <w:p>
      <w:pPr>
        <w:spacing w:line="240" w:lineRule="auto"/>
        <w:jc w:val="center"/>
        <w:outlineLvl w:val="0"/>
        <w:rPr>
          <w:rFonts w:hint="eastAsia" w:ascii="黑体" w:hAnsi="黑体" w:eastAsia="黑体"/>
          <w:color w:val="auto"/>
          <w:sz w:val="44"/>
          <w:szCs w:val="44"/>
          <w:highlight w:val="none"/>
        </w:rPr>
      </w:pPr>
    </w:p>
    <w:p>
      <w:pPr>
        <w:spacing w:line="240" w:lineRule="auto"/>
        <w:jc w:val="center"/>
        <w:outlineLvl w:val="0"/>
        <w:rPr>
          <w:rFonts w:hint="eastAsia" w:ascii="黑体" w:hAnsi="黑体" w:eastAsia="黑体"/>
          <w:color w:val="auto"/>
          <w:sz w:val="44"/>
          <w:szCs w:val="44"/>
          <w:highlight w:val="none"/>
        </w:rPr>
      </w:pPr>
    </w:p>
    <w:p>
      <w:pPr>
        <w:spacing w:line="240" w:lineRule="auto"/>
        <w:jc w:val="center"/>
        <w:outlineLvl w:val="0"/>
        <w:rPr>
          <w:rFonts w:hint="eastAsia" w:ascii="黑体" w:hAnsi="黑体" w:eastAsia="黑体"/>
          <w:color w:val="auto"/>
          <w:sz w:val="44"/>
          <w:szCs w:val="44"/>
          <w:highlight w:val="none"/>
        </w:rPr>
      </w:pPr>
    </w:p>
    <w:p>
      <w:pPr>
        <w:spacing w:line="240" w:lineRule="auto"/>
        <w:jc w:val="center"/>
        <w:outlineLvl w:val="0"/>
        <w:rPr>
          <w:rFonts w:hint="eastAsia" w:ascii="黑体" w:hAnsi="黑体" w:eastAsia="黑体"/>
          <w:color w:val="auto"/>
          <w:sz w:val="44"/>
          <w:szCs w:val="44"/>
          <w:highlight w:val="none"/>
        </w:rPr>
      </w:pPr>
    </w:p>
    <w:p>
      <w:pPr>
        <w:spacing w:line="240" w:lineRule="auto"/>
        <w:jc w:val="center"/>
        <w:outlineLvl w:val="0"/>
        <w:rPr>
          <w:rFonts w:hint="eastAsia" w:ascii="黑体" w:hAnsi="黑体" w:eastAsia="黑体"/>
          <w:color w:val="auto"/>
          <w:sz w:val="44"/>
          <w:szCs w:val="44"/>
          <w:highlight w:val="none"/>
        </w:rPr>
      </w:pPr>
    </w:p>
    <w:p>
      <w:pPr>
        <w:spacing w:line="240" w:lineRule="auto"/>
        <w:jc w:val="both"/>
        <w:outlineLvl w:val="0"/>
        <w:rPr>
          <w:rFonts w:hint="eastAsia" w:ascii="黑体" w:hAnsi="黑体" w:eastAsia="黑体"/>
          <w:color w:val="auto"/>
          <w:sz w:val="44"/>
          <w:szCs w:val="44"/>
          <w:highlight w:val="none"/>
        </w:rPr>
      </w:pPr>
    </w:p>
    <w:p>
      <w:pPr>
        <w:spacing w:line="240" w:lineRule="auto"/>
        <w:ind w:firstLine="2640" w:firstLineChars="600"/>
        <w:jc w:val="both"/>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49"/>
      <w:bookmarkEnd w:id="51"/>
      <w:bookmarkStart w:id="52"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2"/>
    </w:p>
    <w:p>
      <w:pPr>
        <w:pStyle w:val="4"/>
        <w:rPr>
          <w:rFonts w:ascii="仿宋" w:hAnsi="仿宋" w:eastAsia="仿宋"/>
          <w:color w:val="auto"/>
          <w:highlight w:val="none"/>
        </w:rPr>
      </w:pPr>
      <w:bookmarkStart w:id="53"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3"/>
    </w:p>
    <w:p>
      <w:pPr>
        <w:pStyle w:val="4"/>
        <w:rPr>
          <w:rFonts w:ascii="仿宋" w:hAnsi="仿宋" w:eastAsia="仿宋"/>
          <w:color w:val="auto"/>
          <w:highlight w:val="none"/>
        </w:rPr>
      </w:pPr>
      <w:bookmarkStart w:id="54"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4"/>
    </w:p>
    <w:p>
      <w:pPr>
        <w:pStyle w:val="4"/>
        <w:rPr>
          <w:rFonts w:ascii="仿宋" w:hAnsi="仿宋" w:eastAsia="仿宋"/>
          <w:b w:val="0"/>
          <w:color w:val="auto"/>
          <w:highlight w:val="none"/>
        </w:rPr>
      </w:pPr>
      <w:bookmarkStart w:id="55"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5"/>
    </w:p>
    <w:p>
      <w:pPr>
        <w:pStyle w:val="4"/>
        <w:rPr>
          <w:rStyle w:val="27"/>
          <w:rFonts w:ascii="仿宋" w:hAnsi="仿宋" w:eastAsia="仿宋"/>
          <w:b w:val="0"/>
          <w:bCs w:val="0"/>
          <w:color w:val="auto"/>
          <w:highlight w:val="none"/>
        </w:rPr>
      </w:pPr>
      <w:bookmarkStart w:id="56"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6"/>
      <w:bookmarkStart w:id="57"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7"/>
    </w:p>
    <w:p>
      <w:pPr>
        <w:pStyle w:val="4"/>
        <w:rPr>
          <w:rFonts w:ascii="仿宋" w:hAnsi="仿宋" w:eastAsia="仿宋"/>
          <w:color w:val="auto"/>
          <w:highlight w:val="none"/>
        </w:rPr>
      </w:pPr>
      <w:bookmarkStart w:id="58"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58"/>
    </w:p>
    <w:p>
      <w:pPr>
        <w:pStyle w:val="4"/>
        <w:rPr>
          <w:rFonts w:ascii="仿宋" w:hAnsi="仿宋" w:eastAsia="仿宋"/>
          <w:color w:val="auto"/>
          <w:highlight w:val="none"/>
        </w:rPr>
      </w:pPr>
      <w:bookmarkStart w:id="59"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59"/>
    </w:p>
    <w:p>
      <w:pPr>
        <w:pStyle w:val="4"/>
        <w:rPr>
          <w:rFonts w:ascii="仿宋" w:hAnsi="仿宋" w:eastAsia="仿宋"/>
          <w:color w:val="auto"/>
          <w:highlight w:val="none"/>
        </w:rPr>
      </w:pPr>
      <w:bookmarkStart w:id="60"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0"/>
    </w:p>
    <w:p>
      <w:pPr>
        <w:pStyle w:val="4"/>
        <w:rPr>
          <w:rFonts w:ascii="仿宋" w:hAnsi="仿宋" w:eastAsia="仿宋"/>
          <w:color w:val="auto"/>
          <w:highlight w:val="none"/>
        </w:rPr>
      </w:pPr>
      <w:bookmarkStart w:id="61" w:name="_Toc15396628"/>
      <w:r>
        <w:rPr>
          <w:rStyle w:val="27"/>
          <w:rFonts w:hint="eastAsia" w:ascii="仿宋" w:hAnsi="仿宋" w:eastAsia="仿宋"/>
          <w:b w:val="0"/>
          <w:bCs w:val="0"/>
          <w:color w:val="auto"/>
          <w:highlight w:val="none"/>
        </w:rPr>
        <w:t>十、</w:t>
      </w:r>
      <w:bookmarkEnd w:id="61"/>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2" w:name="_Toc15396629"/>
      <w:r>
        <w:rPr>
          <w:rStyle w:val="27"/>
          <w:rFonts w:hint="eastAsia" w:ascii="仿宋" w:hAnsi="仿宋" w:eastAsia="仿宋"/>
          <w:b w:val="0"/>
          <w:bCs w:val="0"/>
          <w:color w:val="auto"/>
          <w:highlight w:val="none"/>
        </w:rPr>
        <w:t>十一、</w:t>
      </w:r>
      <w:bookmarkEnd w:id="62"/>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3" w:name="_Toc15396630"/>
      <w:r>
        <w:rPr>
          <w:rStyle w:val="27"/>
          <w:rFonts w:hint="eastAsia" w:ascii="仿宋" w:hAnsi="仿宋" w:eastAsia="仿宋"/>
          <w:b w:val="0"/>
          <w:bCs w:val="0"/>
          <w:color w:val="auto"/>
          <w:highlight w:val="none"/>
        </w:rPr>
        <w:t>十二、</w:t>
      </w:r>
      <w:bookmarkEnd w:id="63"/>
      <w:r>
        <w:rPr>
          <w:rStyle w:val="27"/>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4" w:name="_Toc15396631"/>
      <w:r>
        <w:rPr>
          <w:rStyle w:val="27"/>
          <w:rFonts w:hint="eastAsia" w:ascii="仿宋" w:hAnsi="仿宋" w:eastAsia="仿宋"/>
          <w:b w:val="0"/>
          <w:bCs w:val="0"/>
          <w:color w:val="auto"/>
          <w:highlight w:val="none"/>
        </w:rPr>
        <w:t>十三、</w:t>
      </w:r>
      <w:bookmarkEnd w:id="64"/>
      <w:r>
        <w:rPr>
          <w:rStyle w:val="27"/>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YzM3MzllNDkwMzYwMDM4MDUzYWJmN2MyYzg0Z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A1587"/>
    <w:rsid w:val="053A62B5"/>
    <w:rsid w:val="0A2032A3"/>
    <w:rsid w:val="0B8A37D8"/>
    <w:rsid w:val="10C055FF"/>
    <w:rsid w:val="118107EC"/>
    <w:rsid w:val="11DD6519"/>
    <w:rsid w:val="16BB723D"/>
    <w:rsid w:val="18015F3F"/>
    <w:rsid w:val="1BE8440E"/>
    <w:rsid w:val="1C20663C"/>
    <w:rsid w:val="1D155CEE"/>
    <w:rsid w:val="20F57F95"/>
    <w:rsid w:val="240371BF"/>
    <w:rsid w:val="24927D28"/>
    <w:rsid w:val="24AE01BD"/>
    <w:rsid w:val="25711CC6"/>
    <w:rsid w:val="25C741E6"/>
    <w:rsid w:val="27842671"/>
    <w:rsid w:val="28026E33"/>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DC2391A"/>
    <w:rsid w:val="4ECE2238"/>
    <w:rsid w:val="51DB4B86"/>
    <w:rsid w:val="55333C3E"/>
    <w:rsid w:val="64CA39A1"/>
    <w:rsid w:val="69630ADE"/>
    <w:rsid w:val="69D13AF9"/>
    <w:rsid w:val="6C4A05C8"/>
    <w:rsid w:val="6D3B1A89"/>
    <w:rsid w:val="71240CE8"/>
    <w:rsid w:val="71BF4EC2"/>
    <w:rsid w:val="72734D90"/>
    <w:rsid w:val="7412278C"/>
    <w:rsid w:val="785B7405"/>
    <w:rsid w:val="79E7B28D"/>
    <w:rsid w:val="7F9F20EE"/>
    <w:rsid w:val="9E3A10E2"/>
    <w:rsid w:val="BEBF1F9C"/>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autoRedefine/>
    <w:unhideWhenUsed/>
    <w:qFormat/>
    <w:uiPriority w:val="9"/>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1"/>
    <w:autoRedefine/>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Body Text Indent"/>
    <w:basedOn w:val="1"/>
    <w:autoRedefine/>
    <w:qFormat/>
    <w:uiPriority w:val="0"/>
    <w:pPr>
      <w:spacing w:after="120"/>
      <w:ind w:leftChars="200"/>
    </w:pPr>
    <w:rPr>
      <w:rFonts w:ascii="仿宋_GB2312"/>
      <w:szCs w:val="32"/>
    </w:r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29"/>
    <w:autoRedefine/>
    <w:semiHidden/>
    <w:unhideWhenUsed/>
    <w:qFormat/>
    <w:uiPriority w:val="99"/>
    <w:rPr>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autoRedefine/>
    <w:unhideWhenUsed/>
    <w:qFormat/>
    <w:uiPriority w:val="39"/>
    <w:pPr>
      <w:tabs>
        <w:tab w:val="right" w:leader="dot" w:pos="8296"/>
      </w:tabs>
      <w:ind w:left="420" w:leftChars="200"/>
    </w:pPr>
  </w:style>
  <w:style w:type="paragraph" w:styleId="13">
    <w:name w:val="Body Text First Indent 2"/>
    <w:basedOn w:val="7"/>
    <w:autoRedefine/>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character" w:customStyle="1" w:styleId="18">
    <w:name w:val="Header Char"/>
    <w:basedOn w:val="15"/>
    <w:autoRedefine/>
    <w:semiHidden/>
    <w:qFormat/>
    <w:uiPriority w:val="99"/>
    <w:rPr>
      <w:rFonts w:ascii="Times New Roman" w:hAnsi="Times New Roman"/>
      <w:sz w:val="18"/>
      <w:szCs w:val="18"/>
    </w:rPr>
  </w:style>
  <w:style w:type="character" w:customStyle="1" w:styleId="19">
    <w:name w:val="页眉 Char"/>
    <w:link w:val="10"/>
    <w:autoRedefine/>
    <w:semiHidden/>
    <w:qFormat/>
    <w:locked/>
    <w:uiPriority w:val="99"/>
    <w:rPr>
      <w:sz w:val="18"/>
    </w:rPr>
  </w:style>
  <w:style w:type="character" w:customStyle="1" w:styleId="20">
    <w:name w:val="Footer Char"/>
    <w:basedOn w:val="15"/>
    <w:autoRedefine/>
    <w:semiHidden/>
    <w:qFormat/>
    <w:uiPriority w:val="99"/>
    <w:rPr>
      <w:rFonts w:ascii="Times New Roman" w:hAnsi="Times New Roman"/>
      <w:sz w:val="18"/>
      <w:szCs w:val="18"/>
    </w:rPr>
  </w:style>
  <w:style w:type="character" w:customStyle="1" w:styleId="21">
    <w:name w:val="页脚 Char"/>
    <w:link w:val="2"/>
    <w:autoRedefine/>
    <w:qFormat/>
    <w:locked/>
    <w:uiPriority w:val="99"/>
    <w:rPr>
      <w:sz w:val="18"/>
    </w:rPr>
  </w:style>
  <w:style w:type="character" w:customStyle="1" w:styleId="22">
    <w:name w:val="Body Text Char"/>
    <w:basedOn w:val="15"/>
    <w:autoRedefine/>
    <w:semiHidden/>
    <w:qFormat/>
    <w:uiPriority w:val="99"/>
    <w:rPr>
      <w:rFonts w:ascii="Times New Roman" w:hAnsi="Times New Roman"/>
      <w:szCs w:val="24"/>
    </w:rPr>
  </w:style>
  <w:style w:type="character" w:customStyle="1" w:styleId="23">
    <w:name w:val="正文文本 Char"/>
    <w:link w:val="6"/>
    <w:autoRedefine/>
    <w:qFormat/>
    <w:locked/>
    <w:uiPriority w:val="99"/>
    <w:rPr>
      <w:rFonts w:ascii="仿宋_GB2312" w:hAnsi="Times New Roman" w:eastAsia="仿宋_GB2312"/>
      <w:sz w:val="24"/>
    </w:rPr>
  </w:style>
  <w:style w:type="paragraph" w:customStyle="1" w:styleId="24">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autoRedefine/>
    <w:qFormat/>
    <w:uiPriority w:val="34"/>
    <w:pPr>
      <w:ind w:firstLine="420" w:firstLineChars="200"/>
    </w:pPr>
  </w:style>
  <w:style w:type="character" w:customStyle="1" w:styleId="26">
    <w:name w:val="标题 1 Char"/>
    <w:basedOn w:val="15"/>
    <w:link w:val="3"/>
    <w:autoRedefine/>
    <w:qFormat/>
    <w:uiPriority w:val="9"/>
    <w:rPr>
      <w:rFonts w:ascii="Times New Roman" w:hAnsi="Times New Roman"/>
      <w:b/>
      <w:bCs/>
      <w:kern w:val="44"/>
      <w:sz w:val="44"/>
      <w:szCs w:val="44"/>
    </w:rPr>
  </w:style>
  <w:style w:type="character" w:customStyle="1" w:styleId="27">
    <w:name w:val="标题 2 Char"/>
    <w:basedOn w:val="15"/>
    <w:link w:val="4"/>
    <w:autoRedefine/>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autoRedefine/>
    <w:semiHidden/>
    <w:qFormat/>
    <w:uiPriority w:val="99"/>
    <w:rPr>
      <w:rFonts w:ascii="Times New Roman" w:hAnsi="Times New Roman"/>
      <w:kern w:val="2"/>
      <w:sz w:val="18"/>
      <w:szCs w:val="18"/>
    </w:rPr>
  </w:style>
  <w:style w:type="character" w:customStyle="1" w:styleId="30">
    <w:name w:val="标题 3 Char"/>
    <w:basedOn w:val="15"/>
    <w:link w:val="5"/>
    <w:autoRedefine/>
    <w:qFormat/>
    <w:uiPriority w:val="9"/>
    <w:rPr>
      <w:rFonts w:ascii="Times New Roman" w:hAnsi="Times New Roman"/>
      <w:b/>
      <w:bCs/>
      <w:kern w:val="2"/>
      <w:sz w:val="32"/>
      <w:szCs w:val="32"/>
    </w:rPr>
  </w:style>
  <w:style w:type="paragraph" w:customStyle="1" w:styleId="31">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autoRedefine/>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13</Pages>
  <Words>5235</Words>
  <Characters>5636</Characters>
  <Lines>61</Lines>
  <Paragraphs>17</Paragraphs>
  <TotalTime>2</TotalTime>
  <ScaleCrop>false</ScaleCrop>
  <LinksUpToDate>false</LinksUpToDate>
  <CharactersWithSpaces>5659</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kylin</cp:lastModifiedBy>
  <cp:lastPrinted>2023-07-31T10:35:00Z</cp:lastPrinted>
  <dcterms:modified xsi:type="dcterms:W3CDTF">2024-09-27T09:53:09Z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DC0FE08683BB4BEBA222B604DE463B42_12</vt:lpwstr>
  </property>
</Properties>
</file>